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10D461B9" w:rsidR="00832279" w:rsidRPr="00E53C3F" w:rsidRDefault="00832279" w:rsidP="00832279">
      <w:pPr>
        <w:jc w:val="right"/>
        <w:rPr>
          <w:rFonts w:ascii="ITC Avant Garde Std Bk" w:hAnsi="ITC Avant Garde Std Bk" w:cstheme="minorHAnsi"/>
          <w:sz w:val="20"/>
          <w:szCs w:val="20"/>
        </w:rPr>
      </w:pPr>
      <w:r w:rsidRPr="00E53C3F">
        <w:rPr>
          <w:rFonts w:ascii="ITC Avant Garde Std Bk" w:hAnsi="ITC Avant Garde Std Bk" w:cstheme="minorHAnsi"/>
          <w:sz w:val="20"/>
          <w:szCs w:val="20"/>
        </w:rPr>
        <w:t xml:space="preserve">Monday </w:t>
      </w:r>
      <w:r w:rsidR="00273F9C">
        <w:rPr>
          <w:rFonts w:ascii="ITC Avant Garde Std Bk" w:hAnsi="ITC Avant Garde Std Bk" w:cstheme="minorHAnsi"/>
          <w:sz w:val="20"/>
          <w:szCs w:val="20"/>
        </w:rPr>
        <w:t>23rd</w:t>
      </w:r>
      <w:r w:rsidR="00C35FAF" w:rsidRPr="00E53C3F">
        <w:rPr>
          <w:rFonts w:ascii="ITC Avant Garde Std Bk" w:hAnsi="ITC Avant Garde Std Bk" w:cstheme="minorHAnsi"/>
          <w:sz w:val="20"/>
          <w:szCs w:val="20"/>
        </w:rPr>
        <w:t xml:space="preserve"> June </w:t>
      </w:r>
      <w:r w:rsidRPr="00E53C3F">
        <w:rPr>
          <w:rFonts w:ascii="ITC Avant Garde Std Bk" w:hAnsi="ITC Avant Garde Std Bk" w:cstheme="minorHAnsi"/>
          <w:sz w:val="20"/>
          <w:szCs w:val="20"/>
        </w:rPr>
        <w:t>2025</w:t>
      </w:r>
    </w:p>
    <w:p w14:paraId="5A17767A" w14:textId="77777777" w:rsidR="00273F9C" w:rsidRPr="002E4555" w:rsidRDefault="00273F9C" w:rsidP="002E4555">
      <w:pPr>
        <w:rPr>
          <w:rFonts w:ascii="Segoe UI Light" w:hAnsi="Segoe UI Light" w:cs="Segoe UI Light"/>
          <w:sz w:val="24"/>
          <w:szCs w:val="24"/>
        </w:rPr>
      </w:pPr>
      <w:proofErr w:type="spellStart"/>
      <w:r w:rsidRPr="002E4555">
        <w:rPr>
          <w:rFonts w:ascii="Segoe UI Light" w:hAnsi="Segoe UI Light" w:cs="Segoe UI Light"/>
          <w:b/>
          <w:bCs/>
          <w:sz w:val="24"/>
          <w:szCs w:val="24"/>
        </w:rPr>
        <w:t>Milborne</w:t>
      </w:r>
      <w:proofErr w:type="spellEnd"/>
      <w:r w:rsidRPr="002E4555">
        <w:rPr>
          <w:rFonts w:ascii="Segoe UI Light" w:hAnsi="Segoe UI Light" w:cs="Segoe UI Light"/>
          <w:b/>
          <w:bCs/>
          <w:sz w:val="24"/>
          <w:szCs w:val="24"/>
        </w:rPr>
        <w:t xml:space="preserve"> Port Primary School PTFA</w:t>
      </w:r>
      <w:r w:rsidRPr="002E4555">
        <w:rPr>
          <w:rFonts w:ascii="Segoe UI Light" w:hAnsi="Segoe UI Light" w:cs="Segoe UI Light"/>
          <w:sz w:val="24"/>
          <w:szCs w:val="24"/>
        </w:rPr>
        <w:t xml:space="preserve"> </w:t>
      </w:r>
      <w:r w:rsidRPr="002E4555">
        <w:rPr>
          <w:rFonts w:ascii="Segoe UI Light" w:hAnsi="Segoe UI Light" w:cs="Segoe UI Light"/>
          <w:b/>
          <w:bCs/>
          <w:sz w:val="24"/>
          <w:szCs w:val="24"/>
        </w:rPr>
        <w:t>Annual General Meeting Invitation</w:t>
      </w:r>
    </w:p>
    <w:p w14:paraId="5128FC7D" w14:textId="77777777" w:rsidR="00273F9C" w:rsidRPr="002E4555" w:rsidRDefault="00273F9C" w:rsidP="002E4555">
      <w:pPr>
        <w:rPr>
          <w:rFonts w:ascii="Segoe UI Light" w:hAnsi="Segoe UI Light" w:cs="Segoe UI Light"/>
          <w:sz w:val="24"/>
          <w:szCs w:val="24"/>
        </w:rPr>
      </w:pPr>
      <w:r w:rsidRPr="002E4555">
        <w:rPr>
          <w:rFonts w:ascii="Segoe UI Light" w:hAnsi="Segoe UI Light" w:cs="Segoe UI Light"/>
          <w:sz w:val="24"/>
          <w:szCs w:val="24"/>
        </w:rPr>
        <w:t xml:space="preserve">Dear Parents, Carers, and Friends of </w:t>
      </w:r>
      <w:proofErr w:type="spellStart"/>
      <w:r w:rsidRPr="002E4555">
        <w:rPr>
          <w:rFonts w:ascii="Segoe UI Light" w:hAnsi="Segoe UI Light" w:cs="Segoe UI Light"/>
          <w:sz w:val="24"/>
          <w:szCs w:val="24"/>
        </w:rPr>
        <w:t>Milborne</w:t>
      </w:r>
      <w:proofErr w:type="spellEnd"/>
      <w:r w:rsidRPr="002E4555">
        <w:rPr>
          <w:rFonts w:ascii="Segoe UI Light" w:hAnsi="Segoe UI Light" w:cs="Segoe UI Light"/>
          <w:sz w:val="24"/>
          <w:szCs w:val="24"/>
        </w:rPr>
        <w:t xml:space="preserve"> Port Primary School,</w:t>
      </w:r>
    </w:p>
    <w:p w14:paraId="62829BE6" w14:textId="77777777" w:rsidR="00621D60" w:rsidRPr="002E4555" w:rsidRDefault="00621D60" w:rsidP="002E4555">
      <w:pPr>
        <w:pStyle w:val="NormalWeb"/>
        <w:spacing w:before="120" w:beforeAutospacing="0" w:after="60" w:afterAutospacing="0"/>
        <w:rPr>
          <w:rFonts w:ascii="Segoe UI Light" w:eastAsia="Times New Roman" w:hAnsi="Segoe UI Light" w:cs="Segoe UI Light"/>
          <w:color w:val="424242"/>
          <w:sz w:val="24"/>
          <w:szCs w:val="24"/>
        </w:rPr>
      </w:pPr>
      <w:r w:rsidRPr="002E4555">
        <w:rPr>
          <w:rStyle w:val="Strong"/>
          <w:rFonts w:ascii="Segoe UI Light" w:hAnsi="Segoe UI Light" w:cs="Segoe UI Light"/>
          <w:color w:val="424242"/>
          <w:sz w:val="24"/>
          <w:szCs w:val="24"/>
        </w:rPr>
        <w:t>Subject: Legal and Charitable Status of the PTFA and Access to Grant Funding</w:t>
      </w:r>
    </w:p>
    <w:p w14:paraId="47A3B9B8"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We are writing to provide an overview of the legal and charitable framework under which our Parent Teacher and Friends Association (PTFA) operates, and to outline how this enables us to access grant funding to support our school.</w:t>
      </w:r>
    </w:p>
    <w:p w14:paraId="6F18A8A6" w14:textId="77777777" w:rsidR="00621D60" w:rsidRPr="002E4555" w:rsidRDefault="00621D60" w:rsidP="002E4555">
      <w:pPr>
        <w:pStyle w:val="Heading3"/>
        <w:spacing w:before="195" w:after="45" w:line="420" w:lineRule="atLeast"/>
        <w:rPr>
          <w:rFonts w:ascii="Segoe UI Light" w:hAnsi="Segoe UI Light" w:cs="Segoe UI Light"/>
          <w:color w:val="424242"/>
          <w:sz w:val="24"/>
          <w:szCs w:val="24"/>
        </w:rPr>
      </w:pPr>
      <w:r w:rsidRPr="002E4555">
        <w:rPr>
          <w:rFonts w:ascii="Segoe UI Light" w:hAnsi="Segoe UI Light" w:cs="Segoe UI Light"/>
          <w:color w:val="424242"/>
          <w:sz w:val="24"/>
          <w:szCs w:val="24"/>
        </w:rPr>
        <w:t>Legal and Charitable Status</w:t>
      </w:r>
    </w:p>
    <w:p w14:paraId="69F21EBE" w14:textId="3EC6BB85"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Our PTFA is a voluntary organisation formed to strengthen the partnership between parents, teachers, and the wider community in support of our school. In accordance with UK charity law, any organisation with </w:t>
      </w:r>
      <w:r w:rsidRPr="002E4555">
        <w:rPr>
          <w:rStyle w:val="Strong"/>
          <w:rFonts w:ascii="Segoe UI Light" w:hAnsi="Segoe UI Light" w:cs="Segoe UI Light"/>
          <w:color w:val="424242"/>
          <w:sz w:val="24"/>
          <w:szCs w:val="24"/>
        </w:rPr>
        <w:t>charitable purposes and an annual income exceeding £5,000</w:t>
      </w:r>
      <w:r w:rsidRPr="002E4555">
        <w:rPr>
          <w:rFonts w:ascii="Segoe UI Light" w:hAnsi="Segoe UI Light" w:cs="Segoe UI Light"/>
          <w:color w:val="424242"/>
          <w:sz w:val="24"/>
          <w:szCs w:val="24"/>
        </w:rPr>
        <w:t> is required to register with the </w:t>
      </w:r>
      <w:r w:rsidRPr="002E4555">
        <w:rPr>
          <w:rStyle w:val="Strong"/>
          <w:rFonts w:ascii="Segoe UI Light" w:hAnsi="Segoe UI Light" w:cs="Segoe UI Light"/>
          <w:color w:val="424242"/>
          <w:sz w:val="24"/>
          <w:szCs w:val="24"/>
        </w:rPr>
        <w:t>Charity Commission for England and Wales</w:t>
      </w:r>
      <w:r w:rsidRPr="002E4555">
        <w:rPr>
          <w:rFonts w:ascii="Segoe UI Light" w:hAnsi="Segoe UI Light" w:cs="Segoe UI Light"/>
          <w:color w:val="424242"/>
          <w:sz w:val="24"/>
          <w:szCs w:val="24"/>
        </w:rPr>
        <w:t> </w:t>
      </w:r>
    </w:p>
    <w:p w14:paraId="08925EC8"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As a registered charity, our PTFA is governed by a constitution that outlines our objectives, structure, and financial procedures. Our committee members serve as </w:t>
      </w:r>
      <w:r w:rsidRPr="002E4555">
        <w:rPr>
          <w:rStyle w:val="Strong"/>
          <w:rFonts w:ascii="Segoe UI Light" w:hAnsi="Segoe UI Light" w:cs="Segoe UI Light"/>
          <w:color w:val="424242"/>
          <w:sz w:val="24"/>
          <w:szCs w:val="24"/>
        </w:rPr>
        <w:t>trustees</w:t>
      </w:r>
      <w:r w:rsidRPr="002E4555">
        <w:rPr>
          <w:rFonts w:ascii="Segoe UI Light" w:hAnsi="Segoe UI Light" w:cs="Segoe UI Light"/>
          <w:color w:val="424242"/>
          <w:sz w:val="24"/>
          <w:szCs w:val="24"/>
        </w:rPr>
        <w:t>, responsible for ensuring that all activities and funds are used solely to advance the education and well-being of pupils at our school </w:t>
      </w:r>
    </w:p>
    <w:p w14:paraId="39AEA812" w14:textId="01946B74" w:rsidR="00621D60" w:rsidRPr="002E4555" w:rsidRDefault="00621D60" w:rsidP="002E4555">
      <w:pPr>
        <w:rPr>
          <w:rFonts w:ascii="Segoe UI Light" w:hAnsi="Segoe UI Light" w:cs="Segoe UI Light"/>
          <w:sz w:val="24"/>
          <w:szCs w:val="24"/>
        </w:rPr>
      </w:pPr>
    </w:p>
    <w:p w14:paraId="7C728697"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Charitable status provides several key benefits:</w:t>
      </w:r>
    </w:p>
    <w:p w14:paraId="50A236B5" w14:textId="77777777" w:rsidR="00621D60" w:rsidRPr="002E4555" w:rsidRDefault="00621D60" w:rsidP="002E4555">
      <w:pPr>
        <w:numPr>
          <w:ilvl w:val="0"/>
          <w:numId w:val="17"/>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Eligibility to apply for grants from charitable trusts and foundations.</w:t>
      </w:r>
    </w:p>
    <w:p w14:paraId="7A198E4C" w14:textId="77777777" w:rsidR="00621D60" w:rsidRPr="002E4555" w:rsidRDefault="00621D60" w:rsidP="002E4555">
      <w:pPr>
        <w:numPr>
          <w:ilvl w:val="0"/>
          <w:numId w:val="17"/>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Ability to claim </w:t>
      </w:r>
      <w:r w:rsidRPr="002E4555">
        <w:rPr>
          <w:rStyle w:val="Strong"/>
          <w:rFonts w:ascii="Segoe UI Light" w:hAnsi="Segoe UI Light" w:cs="Segoe UI Light"/>
          <w:color w:val="424242"/>
          <w:sz w:val="24"/>
          <w:szCs w:val="24"/>
        </w:rPr>
        <w:t>Gift Aid</w:t>
      </w:r>
      <w:r w:rsidRPr="002E4555">
        <w:rPr>
          <w:rFonts w:ascii="Segoe UI Light" w:hAnsi="Segoe UI Light" w:cs="Segoe UI Light"/>
          <w:color w:val="424242"/>
          <w:sz w:val="24"/>
          <w:szCs w:val="24"/>
        </w:rPr>
        <w:t> on donations, increasing the value of contributions by 25%.</w:t>
      </w:r>
    </w:p>
    <w:p w14:paraId="417503ED" w14:textId="77777777" w:rsidR="00621D60" w:rsidRPr="002E4555" w:rsidRDefault="00621D60" w:rsidP="002E4555">
      <w:pPr>
        <w:numPr>
          <w:ilvl w:val="0"/>
          <w:numId w:val="17"/>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Access to </w:t>
      </w:r>
      <w:r w:rsidRPr="002E4555">
        <w:rPr>
          <w:rStyle w:val="Strong"/>
          <w:rFonts w:ascii="Segoe UI Light" w:hAnsi="Segoe UI Light" w:cs="Segoe UI Light"/>
          <w:color w:val="424242"/>
          <w:sz w:val="24"/>
          <w:szCs w:val="24"/>
        </w:rPr>
        <w:t>payroll giving</w:t>
      </w:r>
      <w:r w:rsidRPr="002E4555">
        <w:rPr>
          <w:rFonts w:ascii="Segoe UI Light" w:hAnsi="Segoe UI Light" w:cs="Segoe UI Light"/>
          <w:color w:val="424242"/>
          <w:sz w:val="24"/>
          <w:szCs w:val="24"/>
        </w:rPr>
        <w:t> and </w:t>
      </w:r>
      <w:r w:rsidRPr="002E4555">
        <w:rPr>
          <w:rStyle w:val="Strong"/>
          <w:rFonts w:ascii="Segoe UI Light" w:hAnsi="Segoe UI Light" w:cs="Segoe UI Light"/>
          <w:color w:val="424242"/>
          <w:sz w:val="24"/>
          <w:szCs w:val="24"/>
        </w:rPr>
        <w:t>matched funding</w:t>
      </w:r>
      <w:r w:rsidRPr="002E4555">
        <w:rPr>
          <w:rFonts w:ascii="Segoe UI Light" w:hAnsi="Segoe UI Light" w:cs="Segoe UI Light"/>
          <w:color w:val="424242"/>
          <w:sz w:val="24"/>
          <w:szCs w:val="24"/>
        </w:rPr>
        <w:t> schemes from employers.</w:t>
      </w:r>
    </w:p>
    <w:p w14:paraId="3072D82B" w14:textId="097D7C10" w:rsidR="00621D60" w:rsidRPr="002E4555" w:rsidRDefault="00621D60" w:rsidP="002E4555">
      <w:pPr>
        <w:numPr>
          <w:ilvl w:val="0"/>
          <w:numId w:val="17"/>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Enhanced credibility and trust with donors and the wider community </w:t>
      </w:r>
    </w:p>
    <w:p w14:paraId="40DBBBD1" w14:textId="77777777" w:rsidR="00621D60" w:rsidRPr="002E4555" w:rsidRDefault="00621D60" w:rsidP="002E4555">
      <w:pPr>
        <w:spacing w:before="100" w:beforeAutospacing="1" w:after="100" w:afterAutospacing="1"/>
        <w:ind w:left="720"/>
        <w:rPr>
          <w:rFonts w:ascii="Segoe UI Light" w:hAnsi="Segoe UI Light" w:cs="Segoe UI Light"/>
          <w:color w:val="424242"/>
          <w:sz w:val="24"/>
          <w:szCs w:val="24"/>
        </w:rPr>
      </w:pPr>
      <w:r w:rsidRPr="002E4555">
        <w:rPr>
          <w:rFonts w:ascii="Segoe UI Light" w:hAnsi="Segoe UI Light" w:cs="Segoe UI Light"/>
          <w:color w:val="424242"/>
          <w:sz w:val="24"/>
          <w:szCs w:val="24"/>
        </w:rPr>
        <w:t>.</w:t>
      </w:r>
    </w:p>
    <w:p w14:paraId="48C124BB" w14:textId="77777777" w:rsidR="00621D60" w:rsidRPr="002E4555" w:rsidRDefault="00621D60" w:rsidP="002E4555">
      <w:pPr>
        <w:pStyle w:val="Heading3"/>
        <w:numPr>
          <w:ilvl w:val="0"/>
          <w:numId w:val="0"/>
        </w:numPr>
        <w:spacing w:before="195" w:after="45" w:line="420" w:lineRule="atLeast"/>
        <w:jc w:val="left"/>
        <w:rPr>
          <w:rFonts w:ascii="Segoe UI Light" w:hAnsi="Segoe UI Light" w:cs="Segoe UI Light"/>
          <w:color w:val="424242"/>
          <w:sz w:val="24"/>
          <w:szCs w:val="24"/>
        </w:rPr>
      </w:pPr>
      <w:r w:rsidRPr="002E4555">
        <w:rPr>
          <w:rFonts w:ascii="Segoe UI Light" w:hAnsi="Segoe UI Light" w:cs="Segoe UI Light"/>
          <w:color w:val="424242"/>
          <w:sz w:val="24"/>
          <w:szCs w:val="24"/>
        </w:rPr>
        <w:t>Accessing Grants for the School</w:t>
      </w:r>
    </w:p>
    <w:p w14:paraId="34AAF1AD"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As a registered charity, our PTFA is eligible to apply for a wide range of grants that are not available directly to schools. These grants can support:</w:t>
      </w:r>
    </w:p>
    <w:p w14:paraId="1D06483A" w14:textId="77777777" w:rsidR="00621D60" w:rsidRPr="002E4555" w:rsidRDefault="00621D60" w:rsidP="002E4555">
      <w:pPr>
        <w:numPr>
          <w:ilvl w:val="0"/>
          <w:numId w:val="18"/>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Educational resources and equipment.</w:t>
      </w:r>
    </w:p>
    <w:p w14:paraId="150D8C66" w14:textId="77777777" w:rsidR="00621D60" w:rsidRPr="002E4555" w:rsidRDefault="00621D60" w:rsidP="002E4555">
      <w:pPr>
        <w:numPr>
          <w:ilvl w:val="0"/>
          <w:numId w:val="18"/>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Outdoor learning and play facilities.</w:t>
      </w:r>
    </w:p>
    <w:p w14:paraId="43CFE8CA" w14:textId="77777777" w:rsidR="00621D60" w:rsidRPr="002E4555" w:rsidRDefault="00621D60" w:rsidP="002E4555">
      <w:pPr>
        <w:numPr>
          <w:ilvl w:val="0"/>
          <w:numId w:val="18"/>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Arts, music, and sports programmes.</w:t>
      </w:r>
    </w:p>
    <w:p w14:paraId="1A226F04" w14:textId="77777777" w:rsidR="00621D60" w:rsidRPr="002E4555" w:rsidRDefault="00621D60" w:rsidP="002E4555">
      <w:pPr>
        <w:numPr>
          <w:ilvl w:val="0"/>
          <w:numId w:val="18"/>
        </w:numPr>
        <w:spacing w:before="100" w:beforeAutospacing="1" w:after="100" w:afterAutospacing="1" w:line="240" w:lineRule="auto"/>
        <w:rPr>
          <w:rFonts w:ascii="Segoe UI Light" w:hAnsi="Segoe UI Light" w:cs="Segoe UI Light"/>
          <w:color w:val="424242"/>
          <w:sz w:val="24"/>
          <w:szCs w:val="24"/>
        </w:rPr>
      </w:pPr>
      <w:r w:rsidRPr="002E4555">
        <w:rPr>
          <w:rFonts w:ascii="Segoe UI Light" w:hAnsi="Segoe UI Light" w:cs="Segoe UI Light"/>
          <w:color w:val="424242"/>
          <w:sz w:val="24"/>
          <w:szCs w:val="24"/>
        </w:rPr>
        <w:t>Community engagement and enrichment projects.</w:t>
      </w:r>
    </w:p>
    <w:p w14:paraId="3609B9EE"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When applying for grants, we ensure that all proposals align with our charitable objectives and demonstrate clear benefits to pupils. We provide detailed budgets, timelines, and impact assessments as part of our applications.</w:t>
      </w:r>
    </w:p>
    <w:p w14:paraId="2E2EB242"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We also work closely with local businesses and community partners to secure sponsorships and donations, further enhancing our fundraising efforts.</w:t>
      </w:r>
    </w:p>
    <w:p w14:paraId="50795CCD" w14:textId="77777777" w:rsidR="00621D60" w:rsidRPr="002E4555" w:rsidRDefault="00621D60" w:rsidP="002E4555">
      <w:pPr>
        <w:pStyle w:val="NormalWeb"/>
        <w:spacing w:before="120" w:beforeAutospacing="0" w:after="60" w:afterAutospacing="0"/>
        <w:rPr>
          <w:rFonts w:ascii="Segoe UI Light" w:hAnsi="Segoe UI Light" w:cs="Segoe UI Light"/>
          <w:color w:val="424242"/>
          <w:sz w:val="24"/>
          <w:szCs w:val="24"/>
        </w:rPr>
      </w:pPr>
      <w:r w:rsidRPr="002E4555">
        <w:rPr>
          <w:rFonts w:ascii="Segoe UI Light" w:hAnsi="Segoe UI Light" w:cs="Segoe UI Light"/>
          <w:color w:val="424242"/>
          <w:sz w:val="24"/>
          <w:szCs w:val="24"/>
        </w:rPr>
        <w:t>We hope this letter provides clarity on the legal and charitable framework of our PTFA and the opportunities it creates for supporting our school. Should you require any further information or documentation, please do not hesitate to contact us.</w:t>
      </w:r>
    </w:p>
    <w:p w14:paraId="4E691358" w14:textId="3017F455" w:rsidR="00273F9C" w:rsidRDefault="00273F9C" w:rsidP="002E4555"/>
    <w:p w14:paraId="6C6F7A1D" w14:textId="77777777" w:rsidR="00273F9C" w:rsidRDefault="00273F9C" w:rsidP="002E4555">
      <w:r w:rsidRPr="00A91681">
        <w:t xml:space="preserve">Warm regards, </w:t>
      </w:r>
    </w:p>
    <w:p w14:paraId="5EFC725B" w14:textId="24E3314C" w:rsidR="00C35FAF" w:rsidRPr="00273F9C" w:rsidRDefault="00C35FAF" w:rsidP="002E4555">
      <w:pPr>
        <w:spacing w:before="100" w:beforeAutospacing="1" w:after="100" w:afterAutospacing="1" w:line="240" w:lineRule="auto"/>
        <w:rPr>
          <w:rFonts w:ascii="Segoe UI Light" w:eastAsia="Times New Roman" w:hAnsi="Segoe UI Light" w:cs="Segoe UI Light"/>
          <w:b/>
          <w:bCs/>
          <w:sz w:val="24"/>
          <w:szCs w:val="24"/>
          <w:lang w:eastAsia="en-GB"/>
        </w:rPr>
      </w:pPr>
      <w:r w:rsidRPr="00273F9C">
        <w:rPr>
          <w:rFonts w:ascii="Segoe UI Light" w:eastAsia="Times New Roman" w:hAnsi="Segoe UI Light" w:cs="Segoe UI Light"/>
          <w:b/>
          <w:bCs/>
          <w:sz w:val="24"/>
          <w:szCs w:val="24"/>
          <w:lang w:eastAsia="en-GB"/>
        </w:rPr>
        <w:t>Miss C. Danyali</w:t>
      </w:r>
    </w:p>
    <w:p w14:paraId="39954A68" w14:textId="510191F3" w:rsidR="00CE4B93" w:rsidRPr="00273F9C" w:rsidRDefault="00C35FAF" w:rsidP="007D3FDD">
      <w:pPr>
        <w:spacing w:before="100" w:beforeAutospacing="1" w:after="100" w:afterAutospacing="1" w:line="240" w:lineRule="auto"/>
        <w:rPr>
          <w:rFonts w:ascii="Segoe UI Light" w:hAnsi="Segoe UI Light" w:cs="Segoe UI Light"/>
        </w:rPr>
      </w:pPr>
      <w:r w:rsidRPr="00273F9C">
        <w:rPr>
          <w:rFonts w:ascii="Segoe UI Light" w:eastAsia="Times New Roman" w:hAnsi="Segoe UI Light" w:cs="Segoe UI Light"/>
          <w:sz w:val="24"/>
          <w:szCs w:val="24"/>
          <w:lang w:eastAsia="en-GB"/>
        </w:rPr>
        <w:br/>
        <w:t>Headteacher</w:t>
      </w:r>
      <w:r w:rsidRPr="00273F9C">
        <w:rPr>
          <w:rFonts w:ascii="Segoe UI Light" w:eastAsia="Times New Roman" w:hAnsi="Segoe UI Light" w:cs="Segoe UI Light"/>
          <w:sz w:val="24"/>
          <w:szCs w:val="24"/>
          <w:lang w:eastAsia="en-GB"/>
        </w:rPr>
        <w:br/>
      </w:r>
      <w:proofErr w:type="spellStart"/>
      <w:r w:rsidRPr="00273F9C">
        <w:rPr>
          <w:rFonts w:ascii="Segoe UI Light" w:eastAsia="Times New Roman" w:hAnsi="Segoe UI Light" w:cs="Segoe UI Light"/>
          <w:sz w:val="24"/>
          <w:szCs w:val="24"/>
          <w:lang w:eastAsia="en-GB"/>
        </w:rPr>
        <w:t>Milborne</w:t>
      </w:r>
      <w:proofErr w:type="spellEnd"/>
      <w:r w:rsidRPr="00273F9C">
        <w:rPr>
          <w:rFonts w:ascii="Segoe UI Light" w:eastAsia="Times New Roman" w:hAnsi="Segoe UI Light" w:cs="Segoe UI Light"/>
          <w:sz w:val="24"/>
          <w:szCs w:val="24"/>
          <w:lang w:eastAsia="en-GB"/>
        </w:rPr>
        <w:t xml:space="preserve"> Port Primary School</w:t>
      </w:r>
    </w:p>
    <w:sectPr w:rsidR="00CE4B93" w:rsidRPr="00273F9C" w:rsidSect="00FB045F">
      <w:headerReference w:type="default" r:id="rId7"/>
      <w:footerReference w:type="default" r:id="rId8"/>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20B050202020202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proofErr w:type="spellStart"/>
    <w:r w:rsidRPr="00145536">
      <w:rPr>
        <w:rFonts w:cstheme="minorHAnsi"/>
        <w:sz w:val="26"/>
        <w:szCs w:val="26"/>
      </w:rPr>
      <w:t>Milborne</w:t>
    </w:r>
    <w:proofErr w:type="spellEnd"/>
    <w:r w:rsidRPr="00145536">
      <w:rPr>
        <w:rFonts w:cstheme="minorHAnsi"/>
        <w:sz w:val="26"/>
        <w:szCs w:val="26"/>
      </w:rPr>
      <w:t xml:space="preserv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proofErr w:type="spellStart"/>
    <w:r w:rsidRPr="00B44533">
      <w:rPr>
        <w:rFonts w:cstheme="minorHAnsi"/>
      </w:rPr>
      <w:t>Milborne</w:t>
    </w:r>
    <w:proofErr w:type="spellEnd"/>
    <w:r w:rsidRPr="00B44533">
      <w:rPr>
        <w:rFonts w:cstheme="minorHAnsi"/>
      </w:rPr>
      <w:t xml:space="preserv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2522"/>
    <w:multiLevelType w:val="multilevel"/>
    <w:tmpl w:val="5F3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7D5336F"/>
    <w:multiLevelType w:val="multilevel"/>
    <w:tmpl w:val="D2A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0949A7"/>
    <w:multiLevelType w:val="multilevel"/>
    <w:tmpl w:val="B64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72178F5"/>
    <w:multiLevelType w:val="multilevel"/>
    <w:tmpl w:val="3BB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A652D"/>
    <w:multiLevelType w:val="multilevel"/>
    <w:tmpl w:val="7BA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0"/>
  </w:num>
  <w:num w:numId="4">
    <w:abstractNumId w:val="17"/>
  </w:num>
  <w:num w:numId="5">
    <w:abstractNumId w:val="16"/>
  </w:num>
  <w:num w:numId="6">
    <w:abstractNumId w:val="12"/>
  </w:num>
  <w:num w:numId="7">
    <w:abstractNumId w:val="1"/>
  </w:num>
  <w:num w:numId="8">
    <w:abstractNumId w:val="0"/>
  </w:num>
  <w:num w:numId="9">
    <w:abstractNumId w:val="5"/>
  </w:num>
  <w:num w:numId="10">
    <w:abstractNumId w:val="2"/>
  </w:num>
  <w:num w:numId="11">
    <w:abstractNumId w:val="9"/>
  </w:num>
  <w:num w:numId="12">
    <w:abstractNumId w:val="13"/>
  </w:num>
  <w:num w:numId="13">
    <w:abstractNumId w:val="8"/>
  </w:num>
  <w:num w:numId="14">
    <w:abstractNumId w:val="14"/>
  </w:num>
  <w:num w:numId="15">
    <w:abstractNumId w:val="4"/>
  </w:num>
  <w:num w:numId="16">
    <w:abstractNumId w:val="15"/>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73F9C"/>
    <w:rsid w:val="00283780"/>
    <w:rsid w:val="00285F41"/>
    <w:rsid w:val="0029530B"/>
    <w:rsid w:val="002A258E"/>
    <w:rsid w:val="002B6171"/>
    <w:rsid w:val="002C65F6"/>
    <w:rsid w:val="002C7ACF"/>
    <w:rsid w:val="002E0B21"/>
    <w:rsid w:val="002E2089"/>
    <w:rsid w:val="002E4555"/>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5128C"/>
    <w:rsid w:val="0045213E"/>
    <w:rsid w:val="004549AE"/>
    <w:rsid w:val="004604A4"/>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1D60"/>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D3FDD"/>
    <w:rsid w:val="007F36C1"/>
    <w:rsid w:val="007F4049"/>
    <w:rsid w:val="00810AF0"/>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63C27"/>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2F6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FDD"/>
    <w:rPr>
      <w:b/>
      <w:bCs/>
    </w:rPr>
  </w:style>
  <w:style w:type="character" w:customStyle="1" w:styleId="uv3um">
    <w:name w:val="uv3um"/>
    <w:basedOn w:val="DefaultParagraphFont"/>
    <w:rsid w:val="00A6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361788642">
      <w:bodyDiv w:val="1"/>
      <w:marLeft w:val="0"/>
      <w:marRight w:val="0"/>
      <w:marTop w:val="0"/>
      <w:marBottom w:val="0"/>
      <w:divBdr>
        <w:top w:val="none" w:sz="0" w:space="0" w:color="auto"/>
        <w:left w:val="none" w:sz="0" w:space="0" w:color="auto"/>
        <w:bottom w:val="none" w:sz="0" w:space="0" w:color="auto"/>
        <w:right w:val="none" w:sz="0" w:space="0" w:color="auto"/>
      </w:divBdr>
      <w:divsChild>
        <w:div w:id="305857617">
          <w:marLeft w:val="0"/>
          <w:marRight w:val="0"/>
          <w:marTop w:val="0"/>
          <w:marBottom w:val="0"/>
          <w:divBdr>
            <w:top w:val="none" w:sz="0" w:space="0" w:color="auto"/>
            <w:left w:val="none" w:sz="0" w:space="0" w:color="auto"/>
            <w:bottom w:val="none" w:sz="0" w:space="0" w:color="auto"/>
            <w:right w:val="none" w:sz="0" w:space="0" w:color="auto"/>
          </w:divBdr>
        </w:div>
        <w:div w:id="460617835">
          <w:marLeft w:val="0"/>
          <w:marRight w:val="0"/>
          <w:marTop w:val="0"/>
          <w:marBottom w:val="0"/>
          <w:divBdr>
            <w:top w:val="none" w:sz="0" w:space="0" w:color="auto"/>
            <w:left w:val="none" w:sz="0" w:space="0" w:color="auto"/>
            <w:bottom w:val="none" w:sz="0" w:space="0" w:color="auto"/>
            <w:right w:val="none" w:sz="0" w:space="0" w:color="auto"/>
          </w:divBdr>
        </w:div>
        <w:div w:id="2008632527">
          <w:marLeft w:val="0"/>
          <w:marRight w:val="0"/>
          <w:marTop w:val="0"/>
          <w:marBottom w:val="0"/>
          <w:divBdr>
            <w:top w:val="none" w:sz="0" w:space="0" w:color="auto"/>
            <w:left w:val="none" w:sz="0" w:space="0" w:color="auto"/>
            <w:bottom w:val="none" w:sz="0" w:space="0" w:color="auto"/>
            <w:right w:val="none" w:sz="0" w:space="0" w:color="auto"/>
          </w:divBdr>
        </w:div>
      </w:divsChild>
    </w:div>
    <w:div w:id="42376722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2517</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3</cp:revision>
  <cp:lastPrinted>2025-06-23T08:21:00Z</cp:lastPrinted>
  <dcterms:created xsi:type="dcterms:W3CDTF">2025-06-23T08:21:00Z</dcterms:created>
  <dcterms:modified xsi:type="dcterms:W3CDTF">2025-06-23T08:23:00Z</dcterms:modified>
</cp:coreProperties>
</file>